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NOTA KSIĘGOWA NR / Debit Note Number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108.0" w:type="dxa"/>
        <w:tblLayout w:type="fixed"/>
        <w:tblLook w:val="0000"/>
      </w:tblPr>
      <w:tblGrid>
        <w:gridCol w:w="2625"/>
        <w:gridCol w:w="6405"/>
        <w:tblGridChange w:id="0">
          <w:tblGrid>
            <w:gridCol w:w="2625"/>
            <w:gridCol w:w="6405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Obciążyliśmy (Kč)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Charged amount  (Kč)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Legal Grounds 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1200,00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color w:val="232222"/>
                <w:sz w:val="21"/>
                <w:szCs w:val="21"/>
              </w:rPr>
            </w:pPr>
            <w:r w:rsidDel="00000000" w:rsidR="00000000" w:rsidRPr="00000000">
              <w:rPr>
                <w:color w:val="232222"/>
                <w:sz w:val="21"/>
                <w:szCs w:val="21"/>
                <w:rtl w:val="0"/>
              </w:rPr>
              <w:t xml:space="preserve">NAŘÍZENÍ VLÁDY ze dne 26. června 2013, kterým se mění nařízení vlády č. 142/1994 Sb., kterým se stanoví výše úroků z prodlení a poplatku z prodlení podle občanského zákoníku, ve znění pozdějších předpisů. § 3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</w:t>
      </w:r>
      <w:r w:rsidDel="00000000" w:rsidR="00000000" w:rsidRPr="00000000">
        <w:rPr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recipient)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2D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2E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2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3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4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5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6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24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108.0" w:type="dxa"/>
        <w:tblLayout w:type="fixed"/>
        <w:tblLook w:val="0000"/>
      </w:tblPr>
      <w:tblGrid>
        <w:gridCol w:w="1260"/>
        <w:gridCol w:w="1635"/>
        <w:gridCol w:w="1695"/>
        <w:gridCol w:w="2040"/>
        <w:gridCol w:w="929"/>
        <w:gridCol w:w="1456"/>
        <w:tblGridChange w:id="0">
          <w:tblGrid>
            <w:gridCol w:w="1260"/>
            <w:gridCol w:w="1635"/>
            <w:gridCol w:w="1695"/>
            <w:gridCol w:w="2040"/>
            <w:gridCol w:w="929"/>
            <w:gridCol w:w="1456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Numer /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Data wystawienia / Date of issue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Termin</w:t>
              <w:tab/>
              <w:t xml:space="preserve">płatności/ Payment due date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Gross amount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Waluta / Currency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Do zapłaty /  Amount to pay</w:t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